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0662C9CC" w:rsidR="009C2E10" w:rsidRDefault="0033043C">
      <w:pPr>
        <w:pStyle w:val="Zkladntext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D074AC" wp14:editId="709FD1AF">
            <wp:simplePos x="0" y="0"/>
            <wp:positionH relativeFrom="page">
              <wp:posOffset>719092</wp:posOffset>
            </wp:positionH>
            <wp:positionV relativeFrom="paragraph">
              <wp:posOffset>6535</wp:posOffset>
            </wp:positionV>
            <wp:extent cx="572610" cy="645486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20" cy="65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74424" w14:textId="77777777" w:rsidR="009C2E10" w:rsidRDefault="009C2E10">
      <w:pPr>
        <w:pStyle w:val="Zkladntext"/>
        <w:spacing w:before="101"/>
        <w:rPr>
          <w:rFonts w:ascii="Times New Roman"/>
          <w:sz w:val="28"/>
        </w:rPr>
      </w:pPr>
    </w:p>
    <w:p w14:paraId="2B8DF0AC" w14:textId="0AD772FB" w:rsidR="009C2E10" w:rsidRDefault="00000000">
      <w:pPr>
        <w:pStyle w:val="Nzev"/>
        <w:rPr>
          <w:u w:val="none"/>
        </w:rPr>
      </w:pP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>
        <w:rPr>
          <w:w w:val="80"/>
        </w:rPr>
        <w:t>K</w:t>
      </w:r>
      <w:r>
        <w:rPr>
          <w:spacing w:val="5"/>
        </w:rPr>
        <w:t xml:space="preserve"> </w:t>
      </w:r>
      <w:r>
        <w:rPr>
          <w:w w:val="80"/>
        </w:rPr>
        <w:t>PREKURZORŮM</w:t>
      </w:r>
      <w:r>
        <w:rPr>
          <w:spacing w:val="5"/>
        </w:rPr>
        <w:t xml:space="preserve"> </w:t>
      </w:r>
      <w:r>
        <w:rPr>
          <w:spacing w:val="-2"/>
          <w:w w:val="80"/>
        </w:rPr>
        <w:t>VÝBUŠNIN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0CEC4D54" w:rsidR="009C2E10" w:rsidRPr="0033043C" w:rsidRDefault="0033043C" w:rsidP="0033043C">
      <w:pPr>
        <w:ind w:left="709"/>
        <w:rPr>
          <w:sz w:val="21"/>
          <w:szCs w:val="21"/>
        </w:rPr>
      </w:pPr>
      <w:r w:rsidRPr="0033043C">
        <w:rPr>
          <w:sz w:val="21"/>
          <w:szCs w:val="21"/>
        </w:rPr>
        <w:t>O konkrétním (konkrétních) použití (použitích) prekurzoru výbušnin podléhajícího omezení podle nařízení Evropského parlamentu a Rady (EU) 2019/</w:t>
      </w:r>
      <w:proofErr w:type="gramStart"/>
      <w:r w:rsidRPr="0033043C">
        <w:rPr>
          <w:sz w:val="21"/>
          <w:szCs w:val="21"/>
        </w:rPr>
        <w:t>1148 .</w:t>
      </w:r>
      <w:proofErr w:type="gramEnd"/>
      <w:r w:rsidRPr="0033043C">
        <w:rPr>
          <w:sz w:val="21"/>
          <w:szCs w:val="21"/>
        </w:rPr>
        <w:t xml:space="preserve"> </w:t>
      </w:r>
      <w:proofErr w:type="gramStart"/>
      <w:r w:rsidRPr="0033043C">
        <w:rPr>
          <w:sz w:val="21"/>
          <w:szCs w:val="21"/>
          <w:vertAlign w:val="superscript"/>
        </w:rPr>
        <w:t xml:space="preserve">(1) </w:t>
      </w:r>
      <w:r w:rsidRPr="0033043C">
        <w:rPr>
          <w:sz w:val="21"/>
          <w:szCs w:val="21"/>
        </w:rPr>
        <w:t>,</w:t>
      </w:r>
      <w:proofErr w:type="gramEnd"/>
      <w:r w:rsidRPr="0033043C">
        <w:rPr>
          <w:sz w:val="21"/>
          <w:szCs w:val="21"/>
        </w:rPr>
        <w:t xml:space="preserve"> </w:t>
      </w:r>
      <w:r w:rsidR="00000000" w:rsidRPr="0033043C">
        <w:rPr>
          <w:sz w:val="21"/>
          <w:szCs w:val="21"/>
        </w:rPr>
        <w:t>vystavené pro spol. KRUSTAshop, s.r.o., Litultovice 168, 74755.</w:t>
      </w:r>
    </w:p>
    <w:p w14:paraId="6E7A2C2E" w14:textId="77777777" w:rsidR="009C2E10" w:rsidRDefault="009C2E10">
      <w:pPr>
        <w:pStyle w:val="Zkladntext"/>
        <w:spacing w:before="20"/>
      </w:pPr>
    </w:p>
    <w:tbl>
      <w:tblPr>
        <w:tblW w:w="9351" w:type="dxa"/>
        <w:tblInd w:w="9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6"/>
        <w:gridCol w:w="7485"/>
      </w:tblGrid>
      <w:tr w:rsidR="0033043C" w14:paraId="6E3D35C1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6ECD" w14:textId="77777777" w:rsidR="0033043C" w:rsidRDefault="0033043C" w:rsidP="004067C7">
            <w:pPr>
              <w:pStyle w:val="Normal1"/>
              <w:spacing w:before="0" w:after="0" w:line="276" w:lineRule="auto"/>
            </w:pPr>
            <w:r>
              <w:rPr>
                <w:color w:val="000000"/>
                <w:sz w:val="22"/>
                <w:szCs w:val="22"/>
              </w:rPr>
              <w:t>Společnost: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9B6B" w14:textId="77777777" w:rsidR="0033043C" w:rsidRDefault="0033043C" w:rsidP="004067C7">
            <w:pPr>
              <w:pStyle w:val="Normal1"/>
              <w:spacing w:before="120" w:after="120" w:line="276" w:lineRule="auto"/>
              <w:jc w:val="both"/>
              <w:rPr>
                <w:caps/>
                <w:color w:val="000000"/>
                <w:szCs w:val="22"/>
              </w:rPr>
            </w:pPr>
          </w:p>
        </w:tc>
      </w:tr>
      <w:tr w:rsidR="0033043C" w14:paraId="7F504F1A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1DCE" w14:textId="77777777" w:rsidR="0033043C" w:rsidRDefault="0033043C" w:rsidP="004067C7">
            <w:pPr>
              <w:pStyle w:val="Normal1"/>
              <w:spacing w:before="0" w:after="0" w:line="276" w:lineRule="auto"/>
            </w:pPr>
            <w:r>
              <w:rPr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48DD" w14:textId="77777777" w:rsidR="0033043C" w:rsidRDefault="0033043C" w:rsidP="004067C7">
            <w:pPr>
              <w:pStyle w:val="Normal1"/>
              <w:spacing w:before="120" w:after="120" w:line="276" w:lineRule="auto"/>
              <w:jc w:val="both"/>
              <w:rPr>
                <w:caps/>
                <w:color w:val="000000"/>
                <w:szCs w:val="22"/>
              </w:rPr>
            </w:pPr>
          </w:p>
        </w:tc>
      </w:tr>
      <w:tr w:rsidR="0033043C" w14:paraId="56AEFF03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8C5C" w14:textId="77777777" w:rsidR="0033043C" w:rsidRDefault="0033043C" w:rsidP="004067C7">
            <w:pPr>
              <w:spacing w:line="276" w:lineRule="auto"/>
            </w:pPr>
            <w:r>
              <w:rPr>
                <w:color w:val="000000"/>
              </w:rPr>
              <w:t>IČO: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7F43" w14:textId="77777777" w:rsidR="0033043C" w:rsidRDefault="0033043C" w:rsidP="004067C7">
            <w:pPr>
              <w:pStyle w:val="Normal1"/>
              <w:spacing w:before="120" w:after="120" w:line="276" w:lineRule="auto"/>
              <w:jc w:val="both"/>
              <w:rPr>
                <w:caps/>
                <w:color w:val="000000"/>
                <w:szCs w:val="22"/>
              </w:rPr>
            </w:pPr>
          </w:p>
        </w:tc>
      </w:tr>
      <w:tr w:rsidR="0033043C" w14:paraId="70A02965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EF7B" w14:textId="77777777" w:rsidR="0033043C" w:rsidRDefault="0033043C" w:rsidP="004067C7">
            <w:pPr>
              <w:pStyle w:val="Normal1"/>
              <w:spacing w:before="0" w:after="0" w:line="276" w:lineRule="auto"/>
            </w:pPr>
            <w:r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0FE8" w14:textId="77777777" w:rsidR="0033043C" w:rsidRDefault="0033043C" w:rsidP="004067C7">
            <w:pPr>
              <w:pStyle w:val="Normal1"/>
              <w:spacing w:before="120" w:after="120" w:line="276" w:lineRule="auto"/>
              <w:jc w:val="both"/>
              <w:rPr>
                <w:caps/>
                <w:color w:val="000000"/>
                <w:szCs w:val="22"/>
              </w:rPr>
            </w:pPr>
          </w:p>
        </w:tc>
      </w:tr>
    </w:tbl>
    <w:p w14:paraId="0496034B" w14:textId="77777777" w:rsidR="0033043C" w:rsidRDefault="0033043C">
      <w:pPr>
        <w:pStyle w:val="Zkladntext"/>
        <w:rPr>
          <w:rFonts w:ascii="Arial"/>
          <w:i/>
          <w:sz w:val="20"/>
        </w:rPr>
      </w:pPr>
    </w:p>
    <w:tbl>
      <w:tblPr>
        <w:tblpPr w:leftFromText="141" w:rightFromText="141" w:vertAnchor="text" w:horzAnchor="margin" w:tblpXSpec="center" w:tblpY="186"/>
        <w:tblW w:w="94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1852"/>
        <w:gridCol w:w="1140"/>
        <w:gridCol w:w="1426"/>
        <w:gridCol w:w="3136"/>
      </w:tblGrid>
      <w:tr w:rsidR="0033043C" w14:paraId="41F58E23" w14:textId="77777777" w:rsidTr="0033043C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0E6F" w14:textId="77777777" w:rsidR="0033043C" w:rsidRDefault="0033043C" w:rsidP="0033043C">
            <w:pPr>
              <w:pStyle w:val="Default"/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Obchodní název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77F1" w14:textId="77777777" w:rsidR="0033043C" w:rsidRDefault="0033043C" w:rsidP="0033043C">
            <w:pPr>
              <w:pStyle w:val="Default"/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Prekurzor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1432" w14:textId="77777777" w:rsidR="0033043C" w:rsidRDefault="0033043C" w:rsidP="0033043C">
            <w:pPr>
              <w:pStyle w:val="Default"/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CAS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8C1F" w14:textId="77777777" w:rsidR="0033043C" w:rsidRDefault="0033043C" w:rsidP="0033043C">
            <w:pPr>
              <w:pStyle w:val="Default"/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Koncentrace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5674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Zamýšlené použití</w:t>
            </w:r>
          </w:p>
        </w:tc>
      </w:tr>
      <w:tr w:rsidR="0033043C" w14:paraId="481CCB62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A112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Kyselina dusičná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E68A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Kyselina dusičná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FC0C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7697-37-2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2FDF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 3 hm %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8435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3C" w14:paraId="52AB2ADD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382F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Kyselina sírová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24C9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Kyselina sírová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1852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7664-93-9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F1CE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 15 hm%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5AF5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3C" w14:paraId="6523DDE9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5387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Peroxid vodíku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2374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Peroxid vodíku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08EF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7722-84-1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92F7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 12 hm%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D4E9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3C" w14:paraId="613D0B40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29CF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Dusičnan amonný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AED5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Dusičnan amonný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09E7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6484-52-2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CBAA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 16 hm %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368F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3C" w14:paraId="32F1C984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8777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Persteril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CBAD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Peroxid vodíku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97F9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7722-84-1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E30F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 15hm%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6162" w14:textId="77777777" w:rsidR="0033043C" w:rsidRDefault="0033043C" w:rsidP="0033043C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915814" w14:textId="77777777" w:rsidR="0033043C" w:rsidRDefault="0033043C" w:rsidP="0033043C">
      <w:pPr>
        <w:ind w:firstLine="4"/>
        <w:jc w:val="center"/>
        <w:rPr>
          <w:b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41C0BE1D" w14:textId="77777777" w:rsidR="0033043C" w:rsidRDefault="0033043C">
      <w:pPr>
        <w:pStyle w:val="Zkladntext"/>
        <w:spacing w:before="1" w:line="201" w:lineRule="auto"/>
        <w:ind w:left="731" w:right="739"/>
      </w:pPr>
    </w:p>
    <w:p w14:paraId="2CF1518C" w14:textId="77777777" w:rsidR="0033043C" w:rsidRDefault="0033043C">
      <w:pPr>
        <w:pStyle w:val="Zkladntext"/>
        <w:spacing w:before="1" w:line="201" w:lineRule="auto"/>
        <w:ind w:left="731" w:right="739"/>
      </w:pPr>
    </w:p>
    <w:p w14:paraId="59C848E2" w14:textId="77777777" w:rsidR="0033043C" w:rsidRDefault="0033043C">
      <w:pPr>
        <w:pStyle w:val="Zkladntext"/>
        <w:spacing w:before="1" w:line="201" w:lineRule="auto"/>
        <w:ind w:left="731" w:right="739"/>
      </w:pPr>
    </w:p>
    <w:p w14:paraId="00D26EAA" w14:textId="77777777" w:rsidR="0033043C" w:rsidRDefault="0033043C">
      <w:pPr>
        <w:pStyle w:val="Zkladntext"/>
        <w:spacing w:before="1" w:line="201" w:lineRule="auto"/>
        <w:ind w:left="731" w:right="739"/>
      </w:pPr>
    </w:p>
    <w:p w14:paraId="31E5EAF1" w14:textId="77777777" w:rsidR="0033043C" w:rsidRDefault="0033043C">
      <w:pPr>
        <w:pStyle w:val="Zkladntext"/>
        <w:spacing w:before="1" w:line="201" w:lineRule="auto"/>
        <w:ind w:left="731" w:right="739"/>
      </w:pPr>
    </w:p>
    <w:p w14:paraId="3F6DAEBE" w14:textId="77777777" w:rsidR="0033043C" w:rsidRDefault="0033043C">
      <w:pPr>
        <w:pStyle w:val="Zkladntext"/>
        <w:spacing w:before="1" w:line="201" w:lineRule="auto"/>
        <w:ind w:left="731" w:right="739"/>
      </w:pPr>
    </w:p>
    <w:p w14:paraId="313B9720" w14:textId="77777777" w:rsidR="0033043C" w:rsidRDefault="0033043C">
      <w:pPr>
        <w:pStyle w:val="Zkladntext"/>
        <w:spacing w:before="1" w:line="201" w:lineRule="auto"/>
        <w:ind w:left="731" w:right="739"/>
      </w:pPr>
    </w:p>
    <w:p w14:paraId="5D97EEEB" w14:textId="77777777" w:rsidR="0033043C" w:rsidRDefault="0033043C">
      <w:pPr>
        <w:pStyle w:val="Zkladntext"/>
        <w:spacing w:before="1" w:line="201" w:lineRule="auto"/>
        <w:ind w:left="731" w:right="739"/>
      </w:pPr>
    </w:p>
    <w:p w14:paraId="5ACB495A" w14:textId="77777777" w:rsidR="0033043C" w:rsidRDefault="0033043C">
      <w:pPr>
        <w:pStyle w:val="Zkladntext"/>
        <w:spacing w:before="1" w:line="201" w:lineRule="auto"/>
        <w:ind w:left="731" w:right="739"/>
      </w:pPr>
    </w:p>
    <w:p w14:paraId="33D512F9" w14:textId="77777777" w:rsidR="0033043C" w:rsidRDefault="0033043C">
      <w:pPr>
        <w:pStyle w:val="Zkladntext"/>
        <w:spacing w:before="1" w:line="201" w:lineRule="auto"/>
        <w:ind w:left="731" w:right="739"/>
      </w:pPr>
    </w:p>
    <w:p w14:paraId="5E088EEF" w14:textId="77777777" w:rsidR="0033043C" w:rsidRDefault="0033043C">
      <w:pPr>
        <w:pStyle w:val="Zkladntext"/>
        <w:spacing w:before="1" w:line="201" w:lineRule="auto"/>
        <w:ind w:left="731" w:right="739"/>
      </w:pPr>
    </w:p>
    <w:p w14:paraId="4EE2314E" w14:textId="77777777" w:rsidR="0033043C" w:rsidRDefault="0033043C">
      <w:pPr>
        <w:pStyle w:val="Zkladntext"/>
        <w:spacing w:before="1" w:line="201" w:lineRule="auto"/>
        <w:ind w:left="731" w:right="739"/>
      </w:pPr>
    </w:p>
    <w:p w14:paraId="15E897E2" w14:textId="77777777" w:rsidR="0033043C" w:rsidRDefault="0033043C">
      <w:pPr>
        <w:pStyle w:val="Zkladntext"/>
        <w:spacing w:before="1" w:line="201" w:lineRule="auto"/>
        <w:ind w:left="731" w:right="739"/>
      </w:pPr>
    </w:p>
    <w:p w14:paraId="7931757C" w14:textId="77777777" w:rsidR="0033043C" w:rsidRDefault="0033043C">
      <w:pPr>
        <w:pStyle w:val="Zkladntext"/>
        <w:spacing w:before="1" w:line="201" w:lineRule="auto"/>
        <w:ind w:left="731" w:right="739"/>
      </w:pPr>
    </w:p>
    <w:p w14:paraId="1C2863E5" w14:textId="77777777" w:rsidR="0033043C" w:rsidRDefault="0033043C">
      <w:pPr>
        <w:pStyle w:val="Zkladntext"/>
        <w:spacing w:before="1" w:line="201" w:lineRule="auto"/>
        <w:ind w:left="731" w:right="739"/>
      </w:pPr>
    </w:p>
    <w:p w14:paraId="4309797A" w14:textId="77777777" w:rsidR="0033043C" w:rsidRDefault="0033043C">
      <w:pPr>
        <w:pStyle w:val="Zkladntext"/>
        <w:spacing w:before="1" w:line="201" w:lineRule="auto"/>
        <w:ind w:left="731" w:right="739"/>
      </w:pPr>
    </w:p>
    <w:p w14:paraId="3FE584D2" w14:textId="77777777" w:rsidR="0033043C" w:rsidRDefault="0033043C" w:rsidP="0033043C">
      <w:pPr>
        <w:spacing w:line="276" w:lineRule="auto"/>
        <w:ind w:left="709" w:right="557"/>
        <w:rPr>
          <w:sz w:val="20"/>
        </w:rPr>
      </w:pPr>
      <w:r>
        <w:rPr>
          <w:sz w:val="20"/>
        </w:rPr>
        <w:t>Tímto prohlašuji, že komerční výrobek, látka nebo směs, budou použity pouze k uvedenému účelu, který je v každém případě oprávněný, a bude prodán či dodán jinému zákazníkovi pouze tehdy, pokud tato osoba učiní podobné prohlášení o použití respektující omezení stanovená Nařízením (EU) 2019/1148 pro zpřístupňování osobám z řad široké veřejnosti.</w:t>
      </w:r>
    </w:p>
    <w:p w14:paraId="5C7BB614" w14:textId="77777777" w:rsidR="0033043C" w:rsidRDefault="0033043C" w:rsidP="0033043C">
      <w:pPr>
        <w:spacing w:line="276" w:lineRule="auto"/>
        <w:ind w:left="709" w:right="557"/>
        <w:rPr>
          <w:sz w:val="20"/>
        </w:rPr>
      </w:pPr>
    </w:p>
    <w:p w14:paraId="141D4DEF" w14:textId="32E83B9F" w:rsidR="009C2E10" w:rsidRPr="0033043C" w:rsidRDefault="0033043C" w:rsidP="0033043C">
      <w:pPr>
        <w:spacing w:line="276" w:lineRule="auto"/>
        <w:ind w:left="709" w:right="557"/>
        <w:rPr>
          <w:sz w:val="20"/>
          <w:szCs w:val="20"/>
        </w:rPr>
      </w:pPr>
      <w:r w:rsidRPr="0033043C">
        <w:rPr>
          <w:sz w:val="20"/>
          <w:szCs w:val="20"/>
        </w:rPr>
        <w:t xml:space="preserve">Zavazuji se, že objednávky tohoto zboží budou zasílat a příjem tohoto zboží v naší společnosti budou provádět pouze oprávněné osoby, které budou informovány o podmínkách nakládání s uvedenými prekurzory výbušnin podléhajících omezení a že každá změna tohoto prohlášení nebo oprávněné osoby bude </w:t>
      </w:r>
      <w:r w:rsidR="00000000" w:rsidRPr="0033043C">
        <w:rPr>
          <w:sz w:val="20"/>
          <w:szCs w:val="20"/>
        </w:rPr>
        <w:t>firmě KRUSTAshop s.r.o. oznámena nejpozději před objednáním tohoto zboží.</w:t>
      </w:r>
    </w:p>
    <w:p w14:paraId="6A8F2888" w14:textId="77777777" w:rsidR="0033043C" w:rsidRDefault="0033043C" w:rsidP="0033043C">
      <w:pPr>
        <w:spacing w:line="276" w:lineRule="auto"/>
        <w:rPr>
          <w:spacing w:val="-4"/>
        </w:rPr>
      </w:pPr>
    </w:p>
    <w:p w14:paraId="19FDEF6C" w14:textId="424BA1E8" w:rsidR="0033043C" w:rsidRDefault="0033043C" w:rsidP="0033043C">
      <w:pPr>
        <w:spacing w:line="276" w:lineRule="auto"/>
        <w:ind w:firstLine="709"/>
        <w:rPr>
          <w:sz w:val="20"/>
        </w:rPr>
      </w:pPr>
      <w:r>
        <w:rPr>
          <w:sz w:val="20"/>
        </w:rPr>
        <w:t>S údaji uvedenými v prohlášení budeme nakládat v souladu s pravidly GDPR.</w:t>
      </w:r>
    </w:p>
    <w:p w14:paraId="3DD6C61F" w14:textId="77777777" w:rsidR="0033043C" w:rsidRDefault="0033043C" w:rsidP="0033043C">
      <w:pPr>
        <w:pStyle w:val="norm"/>
        <w:shd w:val="clear" w:color="auto" w:fill="FFFFFF"/>
        <w:spacing w:before="0" w:after="0"/>
        <w:jc w:val="both"/>
        <w:rPr>
          <w:color w:val="000000"/>
          <w:sz w:val="22"/>
          <w:szCs w:val="22"/>
        </w:rPr>
      </w:pPr>
    </w:p>
    <w:tbl>
      <w:tblPr>
        <w:tblW w:w="9214" w:type="dxa"/>
        <w:tblInd w:w="10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2693"/>
        <w:gridCol w:w="3402"/>
      </w:tblGrid>
      <w:tr w:rsidR="0033043C" w14:paraId="5E972CD3" w14:textId="77777777" w:rsidTr="0033043C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5C77" w14:textId="77777777" w:rsidR="0033043C" w:rsidRDefault="0033043C" w:rsidP="004067C7">
            <w:r>
              <w:rPr>
                <w:b/>
              </w:rPr>
              <w:t>Jméno statutárního zástupce nebo /oprávněné osoby (na základě Plné moci):</w:t>
            </w:r>
          </w:p>
        </w:tc>
      </w:tr>
      <w:tr w:rsidR="0033043C" w14:paraId="4D132018" w14:textId="77777777" w:rsidTr="0033043C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948F" w14:textId="77777777" w:rsidR="0033043C" w:rsidRDefault="0033043C" w:rsidP="004067C7">
            <w:pPr>
              <w:spacing w:line="360" w:lineRule="auto"/>
              <w:rPr>
                <w:color w:val="000000"/>
              </w:rPr>
            </w:pPr>
          </w:p>
        </w:tc>
      </w:tr>
      <w:tr w:rsidR="0033043C" w14:paraId="66092D7E" w14:textId="77777777" w:rsidTr="0033043C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1301" w14:textId="77777777" w:rsidR="0033043C" w:rsidRDefault="0033043C" w:rsidP="004067C7">
            <w:pPr>
              <w:pStyle w:val="Normal1"/>
              <w:spacing w:before="0" w:after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Fu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D9D9D9"/>
              </w:rPr>
              <w:t>nkce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08D8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</w:tc>
      </w:tr>
      <w:tr w:rsidR="0033043C" w14:paraId="41BB8923" w14:textId="77777777" w:rsidTr="0033043C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319D" w14:textId="77777777" w:rsidR="0033043C" w:rsidRDefault="0033043C" w:rsidP="004067C7">
            <w:pPr>
              <w:pStyle w:val="Normal1"/>
              <w:spacing w:before="0" w:after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Doklad totožnosti (číslo OP):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0AA9" w14:textId="77777777" w:rsidR="0033043C" w:rsidRDefault="0033043C" w:rsidP="004067C7">
            <w:pPr>
              <w:pStyle w:val="Normal1"/>
              <w:spacing w:before="0" w:after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Vydaný kým: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B8D5" w14:textId="77777777" w:rsidR="0033043C" w:rsidRDefault="0033043C" w:rsidP="004067C7">
            <w:pPr>
              <w:pStyle w:val="Normal1"/>
              <w:spacing w:before="0" w:after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Platnost do:</w:t>
            </w:r>
          </w:p>
        </w:tc>
      </w:tr>
      <w:tr w:rsidR="0033043C" w14:paraId="595FBA86" w14:textId="77777777" w:rsidTr="0033043C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E1AD" w14:textId="77777777" w:rsidR="0033043C" w:rsidRDefault="0033043C" w:rsidP="004067C7">
            <w:pPr>
              <w:pStyle w:val="Normal1"/>
              <w:spacing w:before="120" w:after="120"/>
              <w:jc w:val="both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7B25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175A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</w:tc>
      </w:tr>
      <w:tr w:rsidR="0033043C" w14:paraId="0433A31B" w14:textId="77777777" w:rsidTr="0033043C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96FF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9930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BD80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</w:tc>
      </w:tr>
      <w:tr w:rsidR="0033043C" w14:paraId="6DE23FC3" w14:textId="77777777" w:rsidTr="0033043C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00D9" w14:textId="77777777" w:rsidR="0033043C" w:rsidRDefault="0033043C" w:rsidP="004067C7">
            <w:pPr>
              <w:pStyle w:val="Normal1"/>
              <w:spacing w:before="0" w:after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6DF4" w14:textId="77777777" w:rsidR="0033043C" w:rsidRDefault="0033043C" w:rsidP="004067C7">
            <w:pPr>
              <w:pStyle w:val="Normal1"/>
              <w:spacing w:before="0" w:after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23C7" w14:textId="77777777" w:rsidR="0033043C" w:rsidRDefault="0033043C" w:rsidP="004067C7">
            <w:pPr>
              <w:pStyle w:val="Normal1"/>
              <w:spacing w:before="0" w:after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Razítko:</w:t>
            </w:r>
          </w:p>
        </w:tc>
      </w:tr>
      <w:tr w:rsidR="0033043C" w14:paraId="675945BA" w14:textId="77777777" w:rsidTr="0033043C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1E11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  <w:p w14:paraId="0E4F4054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  <w:p w14:paraId="11639B4E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  <w:p w14:paraId="3549A912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  <w:p w14:paraId="65E7F80B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  <w:p w14:paraId="0F23BC67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7F4D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9C8B" w14:textId="77777777" w:rsidR="0033043C" w:rsidRDefault="0033043C" w:rsidP="004067C7">
            <w:pPr>
              <w:pStyle w:val="Normal1"/>
              <w:spacing w:before="0" w:after="0"/>
              <w:jc w:val="both"/>
              <w:rPr>
                <w:b/>
                <w:bCs/>
                <w:color w:val="000000"/>
                <w:szCs w:val="22"/>
              </w:rPr>
            </w:pPr>
          </w:p>
        </w:tc>
      </w:tr>
    </w:tbl>
    <w:p w14:paraId="66D4EA7A" w14:textId="77777777" w:rsidR="0033043C" w:rsidRDefault="0033043C" w:rsidP="0033043C">
      <w:pPr>
        <w:pStyle w:val="norm"/>
        <w:shd w:val="clear" w:color="auto" w:fill="FFFFFF"/>
        <w:spacing w:before="0" w:after="0"/>
        <w:jc w:val="both"/>
        <w:rPr>
          <w:color w:val="000000"/>
          <w:sz w:val="22"/>
          <w:szCs w:val="22"/>
        </w:rPr>
      </w:pPr>
    </w:p>
    <w:p w14:paraId="11343878" w14:textId="2D80AFB8" w:rsidR="0033043C" w:rsidRDefault="0033043C" w:rsidP="0033043C">
      <w:pPr>
        <w:pStyle w:val="norm"/>
        <w:shd w:val="clear" w:color="auto" w:fill="FFFFFF"/>
        <w:tabs>
          <w:tab w:val="left" w:pos="7065"/>
        </w:tabs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</w:t>
      </w:r>
      <w:r>
        <w:rPr>
          <w:color w:val="000000"/>
          <w:sz w:val="18"/>
          <w:szCs w:val="18"/>
        </w:rPr>
        <w:t>Toto prohlášení je platné 1 kalendářní rok.</w:t>
      </w:r>
      <w:r>
        <w:rPr>
          <w:color w:val="000000"/>
          <w:sz w:val="18"/>
          <w:szCs w:val="18"/>
        </w:rPr>
        <w:tab/>
      </w:r>
    </w:p>
    <w:p w14:paraId="1B670786" w14:textId="77777777" w:rsidR="0033043C" w:rsidRDefault="0033043C" w:rsidP="0033043C"/>
    <w:p w14:paraId="70C9B923" w14:textId="44BD15A7" w:rsidR="009C2E10" w:rsidRPr="0033043C" w:rsidRDefault="0033043C" w:rsidP="00B503E5">
      <w:pPr>
        <w:pStyle w:val="Odstavecseseznamem"/>
        <w:numPr>
          <w:ilvl w:val="0"/>
          <w:numId w:val="1"/>
        </w:numPr>
        <w:suppressAutoHyphens/>
        <w:spacing w:line="360" w:lineRule="auto"/>
        <w:ind w:right="557"/>
        <w:contextualSpacing/>
        <w:jc w:val="both"/>
      </w:pPr>
      <w:r>
        <w:rPr>
          <w:rFonts w:cs="EU Albertina"/>
          <w:color w:val="000000"/>
          <w:sz w:val="17"/>
          <w:szCs w:val="17"/>
        </w:rPr>
        <w:t>Nařízení Evropského parlamentu a Rady (EU) 2019/1148 ze dne 20. června 2019 o uvádění prekurzorů výbušnin na trh a o jejich používání, změně nařízení (ES) č. 1907/2006 a zrušení nařízení (EU) č. 98/2013 (</w:t>
      </w:r>
      <w:proofErr w:type="spellStart"/>
      <w:r>
        <w:rPr>
          <w:rFonts w:cs="EU Albertina"/>
          <w:color w:val="000000"/>
          <w:sz w:val="17"/>
          <w:szCs w:val="17"/>
        </w:rPr>
        <w:t>Úř</w:t>
      </w:r>
      <w:proofErr w:type="spellEnd"/>
      <w:r>
        <w:rPr>
          <w:rFonts w:cs="EU Albertina"/>
          <w:color w:val="000000"/>
          <w:sz w:val="17"/>
          <w:szCs w:val="17"/>
        </w:rPr>
        <w:t xml:space="preserve">. </w:t>
      </w:r>
      <w:proofErr w:type="spellStart"/>
      <w:r>
        <w:rPr>
          <w:rFonts w:cs="EU Albertina"/>
          <w:color w:val="000000"/>
          <w:sz w:val="17"/>
          <w:szCs w:val="17"/>
        </w:rPr>
        <w:t>věst</w:t>
      </w:r>
      <w:proofErr w:type="spellEnd"/>
      <w:r>
        <w:rPr>
          <w:rFonts w:cs="EU Albertina"/>
          <w:color w:val="000000"/>
          <w:sz w:val="17"/>
          <w:szCs w:val="17"/>
        </w:rPr>
        <w:t>. L 186, 11.7.2019, s. 1).</w:t>
      </w:r>
    </w:p>
    <w:sectPr w:rsidR="009C2E10" w:rsidRPr="0033043C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 Albertina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85297"/>
    <w:multiLevelType w:val="multilevel"/>
    <w:tmpl w:val="5406C43E"/>
    <w:lvl w:ilvl="0">
      <w:start w:val="1"/>
      <w:numFmt w:val="decimal"/>
      <w:lvlText w:val="(%1)"/>
      <w:lvlJc w:val="left"/>
      <w:pPr>
        <w:ind w:left="720" w:hanging="360"/>
      </w:pPr>
      <w:rPr>
        <w:rFonts w:ascii="Calibri" w:hAnsi="Calibri" w:cs="EU Albertina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8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2E1298"/>
    <w:rsid w:val="0033043C"/>
    <w:rsid w:val="009C2E10"/>
    <w:rsid w:val="00AF5CCA"/>
    <w:rsid w:val="00B503E5"/>
    <w:rsid w:val="00C757FA"/>
    <w:rsid w:val="00C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paragraph" w:customStyle="1" w:styleId="Normal1">
    <w:name w:val="Normal1"/>
    <w:basedOn w:val="Normln"/>
    <w:rsid w:val="0033043C"/>
    <w:pPr>
      <w:widowControl/>
      <w:suppressAutoHyphens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3043C"/>
    <w:pPr>
      <w:widowControl/>
      <w:suppressAutoHyphens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norm">
    <w:name w:val="norm"/>
    <w:basedOn w:val="Normln"/>
    <w:rsid w:val="0033043C"/>
    <w:pPr>
      <w:widowControl/>
      <w:suppressAutoHyphens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1656</Characters>
  <Application>Microsoft Office Word</Application>
  <DocSecurity>0</DocSecurity>
  <Lines>13</Lines>
  <Paragraphs>3</Paragraphs>
  <ScaleCrop>false</ScaleCrop>
  <Company>TOMÁŠ SKALÍK ATELIÉR s.r.o.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3</cp:revision>
  <cp:lastPrinted>2025-03-31T12:49:00Z</cp:lastPrinted>
  <dcterms:created xsi:type="dcterms:W3CDTF">2025-03-31T12:49:00Z</dcterms:created>
  <dcterms:modified xsi:type="dcterms:W3CDTF">2025-03-31T12:49:00Z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